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0" w:name="P174"/>
            <w:bookmarkEnd w:id="0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643 0</w:t>
            </w:r>
            <w:r w:rsidR="00DA66E3">
              <w:rPr>
                <w:sz w:val="28"/>
                <w:szCs w:val="28"/>
              </w:rPr>
              <w:t>31</w:t>
            </w:r>
            <w:r w:rsidR="00DA66E3" w:rsidRPr="00BA697D">
              <w:rPr>
                <w:sz w:val="28"/>
                <w:szCs w:val="28"/>
              </w:rPr>
              <w:t>,</w:t>
            </w:r>
            <w:r w:rsidR="00DA66E3">
              <w:rPr>
                <w:sz w:val="28"/>
                <w:szCs w:val="28"/>
              </w:rPr>
              <w:t>3</w:t>
            </w:r>
            <w:r w:rsidR="00DA66E3" w:rsidRPr="00BA697D">
              <w:rPr>
                <w:sz w:val="28"/>
                <w:szCs w:val="28"/>
              </w:rPr>
              <w:t xml:space="preserve"> 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2021 год – 145 295,4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</w:t>
      </w:r>
      <w:r w:rsidRPr="00286121">
        <w:rPr>
          <w:rFonts w:ascii="Times New Roman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E0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>
          <w:rPr>
            <w:color w:val="0000FF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>Об организации в Ханты-</w:t>
      </w:r>
      <w:r w:rsidR="00A86798" w:rsidRPr="00A86798">
        <w:rPr>
          <w:sz w:val="28"/>
          <w:szCs w:val="28"/>
        </w:rPr>
        <w:lastRenderedPageBreak/>
        <w:t xml:space="preserve">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 xml:space="preserve">участия в долевом строительстве, в том числе с использованием </w:t>
      </w:r>
      <w:proofErr w:type="spellStart"/>
      <w:r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</w:t>
      </w:r>
      <w:r w:rsidRPr="00286121">
        <w:rPr>
          <w:sz w:val="28"/>
          <w:szCs w:val="28"/>
        </w:rPr>
        <w:lastRenderedPageBreak/>
        <w:t>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941CF4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лужбы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1" w:name="P172"/>
      <w:bookmarkEnd w:id="1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2" w:name="P4781"/>
      <w:bookmarkEnd w:id="2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3" w:name="_Hlk54535296"/>
            <w:r w:rsidRPr="00CD6322">
              <w:t xml:space="preserve">Номер основного </w:t>
            </w:r>
            <w:proofErr w:type="spellStart"/>
            <w:r w:rsidRPr="00CD6322">
              <w:t>мероприя-тия</w:t>
            </w:r>
            <w:proofErr w:type="spell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962,4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lastRenderedPageBreak/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bookmarkEnd w:id="3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7D" w:rsidRDefault="00CE6F7D" w:rsidP="007C7827">
      <w:r>
        <w:separator/>
      </w:r>
    </w:p>
  </w:endnote>
  <w:endnote w:type="continuationSeparator" w:id="0">
    <w:p w:rsidR="00CE6F7D" w:rsidRDefault="00CE6F7D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7D" w:rsidRDefault="00CE6F7D" w:rsidP="007C7827">
      <w:r>
        <w:separator/>
      </w:r>
    </w:p>
  </w:footnote>
  <w:footnote w:type="continuationSeparator" w:id="0">
    <w:p w:rsidR="00CE6F7D" w:rsidRDefault="00CE6F7D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02" w:rsidRPr="0045468D" w:rsidRDefault="003D6F4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B03702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6519D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02" w:rsidRPr="0045468D" w:rsidRDefault="003D6F4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B03702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6519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EFBA584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C29CF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23A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2AB63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E6AB0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8CAB7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B21B7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CE926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5E397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DF7C550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DF7C550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E84D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B05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70759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C9D1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0218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ADEB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C5C9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E6A12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DF7C550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E84D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B05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70759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C9D1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0218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ADEB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C5C9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E6A12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DF7C550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E84D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B05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70759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C9D1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0218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ADEB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C5C9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E6A12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EB87-25B9-4FE9-8AB1-65B2D2BC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8</cp:revision>
  <cp:lastPrinted>2021-07-29T09:54:00Z</cp:lastPrinted>
  <dcterms:created xsi:type="dcterms:W3CDTF">2021-10-03T10:49:00Z</dcterms:created>
  <dcterms:modified xsi:type="dcterms:W3CDTF">2021-12-10T07:42:00Z</dcterms:modified>
</cp:coreProperties>
</file>